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A38F" w14:textId="77777777" w:rsidR="00D47A84" w:rsidRDefault="00D47A84" w:rsidP="00D47A84">
      <w:pPr>
        <w:autoSpaceDE w:val="0"/>
        <w:autoSpaceDN w:val="0"/>
        <w:adjustRightInd w:val="0"/>
        <w:textAlignment w:val="center"/>
        <w:rPr>
          <w:rFonts w:ascii="CoHeadline-Regular" w:hAnsi="CoHeadline-Regular" w:cs="CoHeadline-Regular"/>
          <w:color w:val="65CB00"/>
          <w:spacing w:val="4"/>
          <w:sz w:val="44"/>
          <w:szCs w:val="44"/>
        </w:rPr>
      </w:pPr>
      <w:r w:rsidRPr="00D47A84">
        <w:rPr>
          <w:rFonts w:ascii="CoHeadline-Regular" w:hAnsi="CoHeadline-Regular" w:cs="CoHeadline-Regular"/>
          <w:color w:val="65CB00"/>
          <w:spacing w:val="4"/>
          <w:sz w:val="44"/>
          <w:szCs w:val="44"/>
        </w:rPr>
        <w:t>Botswana classic</w:t>
      </w:r>
    </w:p>
    <w:p w14:paraId="6BB39CEE" w14:textId="707A9E30" w:rsidR="00D47A84" w:rsidRPr="00D47A84" w:rsidRDefault="00D47A84" w:rsidP="00D47A84">
      <w:pPr>
        <w:pStyle w:val="Ladilloitinerario"/>
        <w:spacing w:line="240" w:lineRule="auto"/>
        <w:rPr>
          <w:rFonts w:ascii="CoHeadline-Regular" w:hAnsi="CoHeadline-Regular" w:cs="CoHeadline-Regular"/>
          <w:color w:val="65CB00"/>
          <w:spacing w:val="4"/>
          <w:sz w:val="44"/>
          <w:szCs w:val="44"/>
        </w:rPr>
      </w:pPr>
      <w:r>
        <w:t>ITINERARIO MODIFICADO</w:t>
      </w:r>
    </w:p>
    <w:p w14:paraId="1BF2D50A" w14:textId="77777777" w:rsidR="00D47A84" w:rsidRDefault="00D47A84" w:rsidP="00D47A84">
      <w:pPr>
        <w:pStyle w:val="codigocabecera"/>
        <w:spacing w:line="240" w:lineRule="auto"/>
        <w:jc w:val="left"/>
      </w:pPr>
      <w:r>
        <w:t>C-97017</w:t>
      </w:r>
    </w:p>
    <w:p w14:paraId="48887611" w14:textId="05E38807" w:rsidR="00957DB7" w:rsidRDefault="00D47A84" w:rsidP="00D47A8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696733" w14:textId="3E82BF7B" w:rsidR="00D47A84" w:rsidRDefault="00957DB7" w:rsidP="00D47A84">
      <w:pPr>
        <w:pStyle w:val="nochescabecera"/>
        <w:spacing w:line="240" w:lineRule="auto"/>
      </w:pPr>
      <w:r>
        <w:rPr>
          <w:rFonts w:ascii="Router-Bold" w:hAnsi="Router-Bold" w:cs="Router-Bold"/>
          <w:b/>
          <w:bCs/>
          <w:spacing w:val="-5"/>
        </w:rPr>
        <w:t xml:space="preserve">NOCHES  </w:t>
      </w:r>
      <w:r w:rsidR="00D47A84">
        <w:t>Cataratas Victoria 2. Chobe 2. Delta del Okavango 2.</w:t>
      </w:r>
    </w:p>
    <w:p w14:paraId="1899E14E" w14:textId="65A8D163" w:rsidR="0085440A" w:rsidRPr="004906BE" w:rsidRDefault="0085440A" w:rsidP="00D47A84">
      <w:pPr>
        <w:pStyle w:val="Ningnestilodeprrafo"/>
        <w:spacing w:line="240" w:lineRule="auto"/>
        <w:rPr>
          <w:rFonts w:ascii="CoHeadline-Regular" w:hAnsi="CoHeadline-Regular" w:cs="CoHeadline-Regular"/>
          <w:color w:val="C6B012"/>
          <w:w w:val="90"/>
        </w:rPr>
      </w:pPr>
    </w:p>
    <w:p w14:paraId="4969D773"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1º CATARATAS VICTORIA</w:t>
      </w:r>
    </w:p>
    <w:p w14:paraId="7C7B23D6"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spacing w:val="1"/>
          <w:w w:val="90"/>
          <w:sz w:val="16"/>
          <w:szCs w:val="16"/>
        </w:rPr>
        <w:t xml:space="preserve">Llegada, asistencia y traslado al hotel. Por la tarde crucero por el río Zambeze para disfrutar de una de las puestas del sol más bonitas del continente, mientras los animales se acercan a beber a la orilla. Durante el crucero se servirán bebidas y canapés. </w:t>
      </w:r>
      <w:r w:rsidRPr="00D47A84">
        <w:rPr>
          <w:rFonts w:ascii="Router-Bold" w:hAnsi="Router-Bold" w:cs="Router-Bold"/>
          <w:b/>
          <w:bCs/>
          <w:color w:val="000000"/>
          <w:w w:val="90"/>
          <w:sz w:val="16"/>
          <w:szCs w:val="16"/>
        </w:rPr>
        <w:t>Alojamiento</w:t>
      </w:r>
      <w:r w:rsidRPr="00D47A84">
        <w:rPr>
          <w:rFonts w:ascii="Router-Book" w:hAnsi="Router-Book" w:cs="Router-Book"/>
          <w:color w:val="000000"/>
          <w:w w:val="90"/>
          <w:sz w:val="16"/>
          <w:szCs w:val="16"/>
        </w:rPr>
        <w:t>.</w:t>
      </w:r>
    </w:p>
    <w:p w14:paraId="1B1AD529"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6F704881"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2º CATARATAS VICTORIA</w:t>
      </w:r>
    </w:p>
    <w:p w14:paraId="419A690F" w14:textId="77777777" w:rsidR="00D47A84" w:rsidRPr="00D47A84" w:rsidRDefault="00D47A84" w:rsidP="00D47A84">
      <w:pPr>
        <w:autoSpaceDE w:val="0"/>
        <w:autoSpaceDN w:val="0"/>
        <w:adjustRightInd w:val="0"/>
        <w:jc w:val="both"/>
        <w:textAlignment w:val="center"/>
        <w:rPr>
          <w:rFonts w:ascii="Router-Book" w:hAnsi="Router-Book" w:cs="Router-Book"/>
          <w:color w:val="000000"/>
          <w:spacing w:val="1"/>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Visita guiada de las Cataratas Victoria. Contemplamos una de las maravillas de la naturaleza; el poderoso río Zambeze se desploma en un inmenso salto de agua de más de 1.500 metros de ancho y más de 100 metros de altura creando una enorme nube de agua vaporizada. Un espectáculo que hizo al Doctor Livingstone exclamar que “los ángeles cuando vuelan deben contemplar esta encantadora visión”.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en el famoso restaurante Lookout Café, con impresionantes visas de la garganta Batonka. </w:t>
      </w:r>
      <w:r w:rsidRPr="00D47A84">
        <w:rPr>
          <w:rFonts w:ascii="Router-Bold" w:hAnsi="Router-Bold" w:cs="Router-Bold"/>
          <w:b/>
          <w:bCs/>
          <w:color w:val="000000"/>
          <w:w w:val="90"/>
          <w:sz w:val="16"/>
          <w:szCs w:val="16"/>
        </w:rPr>
        <w:t>Alojamiento</w:t>
      </w:r>
      <w:r w:rsidRPr="00D47A84">
        <w:rPr>
          <w:rFonts w:ascii="Router-Book" w:hAnsi="Router-Book" w:cs="Router-Book"/>
          <w:color w:val="000000"/>
          <w:spacing w:val="1"/>
          <w:w w:val="90"/>
          <w:sz w:val="16"/>
          <w:szCs w:val="16"/>
        </w:rPr>
        <w:t>.</w:t>
      </w:r>
      <w:r w:rsidRPr="00D47A84">
        <w:rPr>
          <w:rFonts w:ascii="Router-Book" w:hAnsi="Router-Book" w:cs="Router-Book"/>
          <w:color w:val="000000"/>
          <w:w w:val="90"/>
          <w:sz w:val="16"/>
          <w:szCs w:val="16"/>
        </w:rPr>
        <w:t xml:space="preserve"> </w:t>
      </w:r>
    </w:p>
    <w:p w14:paraId="5BBD4960"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07B4DB6B"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3º CATARATAS VICTORIA-CHOBE</w:t>
      </w:r>
    </w:p>
    <w:p w14:paraId="40524ECB"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Salida a Botswana, al Parque Nacional de Chobe.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y safari fotográfico. </w:t>
      </w:r>
      <w:r w:rsidRPr="00D47A84">
        <w:rPr>
          <w:rFonts w:ascii="Router-Bold" w:hAnsi="Router-Bold" w:cs="Router-Bold"/>
          <w:b/>
          <w:bCs/>
          <w:color w:val="000000"/>
          <w:w w:val="90"/>
          <w:sz w:val="16"/>
          <w:szCs w:val="16"/>
        </w:rPr>
        <w:t xml:space="preserve">Cena y alo­jamiento. </w:t>
      </w:r>
    </w:p>
    <w:p w14:paraId="30A5A10E"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5D2071B9"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4º CHOBE</w:t>
      </w:r>
    </w:p>
    <w:p w14:paraId="40B7A5AA"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w w:val="90"/>
          <w:sz w:val="16"/>
          <w:szCs w:val="16"/>
        </w:rPr>
        <w:t xml:space="preserve">Régimen de </w:t>
      </w:r>
      <w:r w:rsidRPr="00D47A84">
        <w:rPr>
          <w:rFonts w:ascii="Router-Bold" w:hAnsi="Router-Bold" w:cs="Router-Bold"/>
          <w:b/>
          <w:bCs/>
          <w:color w:val="000000"/>
          <w:w w:val="90"/>
          <w:sz w:val="16"/>
          <w:szCs w:val="16"/>
        </w:rPr>
        <w:t>pensión completa.</w:t>
      </w:r>
      <w:r w:rsidRPr="00D47A84">
        <w:rPr>
          <w:rFonts w:ascii="Router-Book" w:hAnsi="Router-Book" w:cs="Router-Book"/>
          <w:color w:val="000000"/>
          <w:w w:val="90"/>
          <w:sz w:val="16"/>
          <w:szCs w:val="16"/>
        </w:rPr>
        <w:t xml:space="preserve"> Día dedicado a actividades de safari incluyendo salidas en 4x4 y en barca por el río. El parque alberga a la fauna más variada y extensa sobretodo en cuanto al número de elefantes, unos 90.000 ejemplares, constituyendo sin duda uno de los mejores lugares de toda África para su avistamiento.</w:t>
      </w:r>
    </w:p>
    <w:p w14:paraId="605B5455"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ABF1819"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5º CHOBE-DELTA DEL OKAVANGO (avioneta)</w:t>
      </w:r>
    </w:p>
    <w:p w14:paraId="000C3B0C"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Traslado al aeródromo de Kasane para salir en avioneta al Delta del Okavango. </w:t>
      </w:r>
      <w:r w:rsidRPr="00D47A84">
        <w:rPr>
          <w:rFonts w:ascii="Router-Bold" w:hAnsi="Router-Bold" w:cs="Router-Bold"/>
          <w:b/>
          <w:bCs/>
          <w:color w:val="000000"/>
          <w:w w:val="90"/>
          <w:sz w:val="16"/>
          <w:szCs w:val="16"/>
        </w:rPr>
        <w:t>Almuerzo</w:t>
      </w:r>
      <w:r w:rsidRPr="00D47A84">
        <w:rPr>
          <w:rFonts w:ascii="Router-Book" w:hAnsi="Router-Book" w:cs="Router-Book"/>
          <w:color w:val="000000"/>
          <w:w w:val="90"/>
          <w:sz w:val="16"/>
          <w:szCs w:val="16"/>
        </w:rPr>
        <w:t xml:space="preserve">. Actividad de safari por la tarde. </w:t>
      </w:r>
      <w:r w:rsidRPr="00D47A84">
        <w:rPr>
          <w:rFonts w:ascii="Router-Bold" w:hAnsi="Router-Bold" w:cs="Router-Bold"/>
          <w:b/>
          <w:bCs/>
          <w:color w:val="000000"/>
          <w:w w:val="90"/>
          <w:sz w:val="16"/>
          <w:szCs w:val="16"/>
        </w:rPr>
        <w:t xml:space="preserve">Cena y alojamiento. </w:t>
      </w:r>
    </w:p>
    <w:p w14:paraId="7041E52B"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B018A1A"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6º DELTA DEL OKAVANGO</w:t>
      </w:r>
    </w:p>
    <w:p w14:paraId="751BC2B6"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r w:rsidRPr="00D47A84">
        <w:rPr>
          <w:rFonts w:ascii="Router-Book" w:hAnsi="Router-Book" w:cs="Router-Book"/>
          <w:color w:val="000000"/>
          <w:w w:val="90"/>
          <w:sz w:val="16"/>
          <w:szCs w:val="16"/>
        </w:rPr>
        <w:t>Régimen de</w:t>
      </w:r>
      <w:r w:rsidRPr="00D47A84">
        <w:rPr>
          <w:rFonts w:ascii="Router-Bold" w:hAnsi="Router-Bold" w:cs="Router-Bold"/>
          <w:b/>
          <w:bCs/>
          <w:color w:val="000000"/>
          <w:w w:val="90"/>
          <w:sz w:val="16"/>
          <w:szCs w:val="16"/>
        </w:rPr>
        <w:t xml:space="preserve"> pensión completa</w:t>
      </w:r>
      <w:r w:rsidRPr="00D47A84">
        <w:rPr>
          <w:rFonts w:ascii="Router-Book" w:hAnsi="Router-Book" w:cs="Router-Book"/>
          <w:color w:val="000000"/>
          <w:w w:val="90"/>
          <w:sz w:val="16"/>
          <w:szCs w:val="16"/>
        </w:rPr>
        <w:t xml:space="preserve">. </w:t>
      </w:r>
      <w:r w:rsidRPr="00D47A84">
        <w:rPr>
          <w:rFonts w:ascii="Router-Book" w:hAnsi="Router-Book" w:cs="Router-Book"/>
          <w:color w:val="000000"/>
          <w:spacing w:val="1"/>
          <w:w w:val="90"/>
          <w:sz w:val="16"/>
          <w:szCs w:val="16"/>
        </w:rPr>
        <w:t>Actividades de safari por la mañana y por la tarde en vehículo 4x4, mokoro y lancha (actividades sujetas al caudal del agua). Nos encontramos en un lugar verdaderamente único. El río Okavango nace en Angola y en su camino a través de África se ve incapaz de superar el desierto del Kalahari inundando más de 20.000 kilómetros cuadrados y convirtiendo las ardientes arenas del desierto un oasis de vida inigualable.</w:t>
      </w:r>
    </w:p>
    <w:p w14:paraId="4509B3F5" w14:textId="77777777" w:rsidR="00D47A84" w:rsidRPr="00D47A84" w:rsidRDefault="00D47A84" w:rsidP="00D47A84">
      <w:pPr>
        <w:autoSpaceDE w:val="0"/>
        <w:autoSpaceDN w:val="0"/>
        <w:adjustRightInd w:val="0"/>
        <w:jc w:val="both"/>
        <w:textAlignment w:val="center"/>
        <w:rPr>
          <w:rFonts w:ascii="Router-Book" w:hAnsi="Router-Book" w:cs="Router-Book"/>
          <w:color w:val="000000"/>
          <w:w w:val="90"/>
          <w:sz w:val="16"/>
          <w:szCs w:val="16"/>
        </w:rPr>
      </w:pPr>
    </w:p>
    <w:p w14:paraId="204990CD" w14:textId="77777777" w:rsidR="00D47A84" w:rsidRPr="00D47A84" w:rsidRDefault="00D47A84" w:rsidP="00D47A84">
      <w:pPr>
        <w:suppressAutoHyphens/>
        <w:autoSpaceDE w:val="0"/>
        <w:autoSpaceDN w:val="0"/>
        <w:adjustRightInd w:val="0"/>
        <w:textAlignment w:val="center"/>
        <w:rPr>
          <w:rFonts w:ascii="Router-Bold" w:hAnsi="Router-Bold" w:cs="Router-Bold"/>
          <w:b/>
          <w:bCs/>
          <w:color w:val="E50000"/>
          <w:w w:val="90"/>
          <w:sz w:val="16"/>
          <w:szCs w:val="16"/>
        </w:rPr>
      </w:pPr>
      <w:r w:rsidRPr="00D47A84">
        <w:rPr>
          <w:rFonts w:ascii="Router-Bold" w:hAnsi="Router-Bold" w:cs="Router-Bold"/>
          <w:b/>
          <w:bCs/>
          <w:color w:val="E50000"/>
          <w:w w:val="90"/>
          <w:sz w:val="16"/>
          <w:szCs w:val="16"/>
        </w:rPr>
        <w:t>Día 7º OKAVANGO-MAUN (avioneta)</w:t>
      </w:r>
    </w:p>
    <w:p w14:paraId="4144D74C"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r w:rsidRPr="00D47A84">
        <w:rPr>
          <w:rFonts w:ascii="Router-Bold" w:hAnsi="Router-Bold" w:cs="Router-Bold"/>
          <w:b/>
          <w:bCs/>
          <w:color w:val="000000"/>
          <w:w w:val="90"/>
          <w:sz w:val="16"/>
          <w:szCs w:val="16"/>
        </w:rPr>
        <w:t>Desayuno</w:t>
      </w:r>
      <w:r w:rsidRPr="00D47A84">
        <w:rPr>
          <w:rFonts w:ascii="Router-Book" w:hAnsi="Router-Book" w:cs="Router-Book"/>
          <w:color w:val="000000"/>
          <w:w w:val="90"/>
          <w:sz w:val="16"/>
          <w:szCs w:val="16"/>
        </w:rPr>
        <w:t xml:space="preserve">. </w:t>
      </w:r>
      <w:r w:rsidRPr="00D47A84">
        <w:rPr>
          <w:rFonts w:ascii="Router-Book" w:hAnsi="Router-Book" w:cs="Router-Book"/>
          <w:color w:val="000000"/>
          <w:spacing w:val="1"/>
          <w:w w:val="90"/>
          <w:sz w:val="16"/>
          <w:szCs w:val="16"/>
        </w:rPr>
        <w:t>Traslado al aeródromo para salir en avioneta al aeropuerto de Maun</w:t>
      </w:r>
      <w:r w:rsidRPr="00D47A84">
        <w:rPr>
          <w:rFonts w:ascii="Router-Bold" w:hAnsi="Router-Bold" w:cs="Router-Bold"/>
          <w:b/>
          <w:bCs/>
          <w:color w:val="000000"/>
          <w:w w:val="90"/>
          <w:sz w:val="16"/>
          <w:szCs w:val="16"/>
        </w:rPr>
        <w:t>. Fin de los servicios.</w:t>
      </w:r>
    </w:p>
    <w:p w14:paraId="09045BC0" w14:textId="77777777" w:rsidR="00D47A84" w:rsidRPr="00D47A84" w:rsidRDefault="00D47A84" w:rsidP="00D47A84">
      <w:pPr>
        <w:autoSpaceDE w:val="0"/>
        <w:autoSpaceDN w:val="0"/>
        <w:adjustRightInd w:val="0"/>
        <w:jc w:val="both"/>
        <w:textAlignment w:val="center"/>
        <w:rPr>
          <w:rFonts w:ascii="Router-Bold" w:hAnsi="Router-Bold" w:cs="Router-Bold"/>
          <w:b/>
          <w:bCs/>
          <w:color w:val="000000"/>
          <w:w w:val="90"/>
          <w:sz w:val="16"/>
          <w:szCs w:val="16"/>
        </w:rPr>
      </w:pPr>
    </w:p>
    <w:p w14:paraId="07407FC3" w14:textId="77777777" w:rsidR="00D47A84" w:rsidRPr="00D47A84" w:rsidRDefault="00D47A84" w:rsidP="00D47A8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D47A84">
        <w:rPr>
          <w:rFonts w:ascii="Router-Bold" w:hAnsi="Router-Bold" w:cs="Router-Bold"/>
          <w:b/>
          <w:bCs/>
          <w:color w:val="000000"/>
          <w:spacing w:val="-3"/>
          <w:w w:val="90"/>
          <w:sz w:val="14"/>
          <w:szCs w:val="14"/>
        </w:rPr>
        <w:t>Notas importantes:</w:t>
      </w:r>
    </w:p>
    <w:p w14:paraId="5072195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En Botswana está prohibida la entrada y uso de todo tipo de bolsas de plástico.</w:t>
      </w:r>
    </w:p>
    <w:p w14:paraId="444396C5"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El equipaje debe ser en maleta blanda, tipo bolsa de deporte, de un tamaño máximo 25 cm ancho x 30 cm alto x 62 cm largo. El exceso de equipaje o el uso de una maleta no adecuada puede implicar el pago de un asiento extra en destino. </w:t>
      </w:r>
    </w:p>
    <w:p w14:paraId="6FFBCDD1"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El peso máximo por pasajero es de 100 kgs.</w:t>
      </w:r>
    </w:p>
    <w:p w14:paraId="2A13CB5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El orden de las visitas podrá alterarse por razones técnicas.</w:t>
      </w:r>
    </w:p>
    <w:p w14:paraId="546D2245"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En algunos países se debe abonar tasas de salida, se trata de tasas propias del país. También hay ciudades que exigen a los clientes el pago directo en el hotel de alguna tasa turística. </w:t>
      </w:r>
    </w:p>
    <w:p w14:paraId="79C8A474"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2159EBDB"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Las tasas aéreas pueden variar, el precio se reconfirmará en el momento de la emisión de los billetes aéreos.</w:t>
      </w:r>
    </w:p>
    <w:p w14:paraId="11B9F1D3"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Los hoteles y campamentos solo garantizan el uso de las habitaciones a partir de las 14:00 hrs el día de llegada. El uso de la habitación es hasta las 10:00 hrs.</w:t>
      </w:r>
    </w:p>
    <w:p w14:paraId="257EE726"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Consultar posibles suplementos en base a la disponibilidad en las clases aéreas cotizadas y periodos especiales.</w:t>
      </w:r>
    </w:p>
    <w:p w14:paraId="107658D3"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Las tasas aéreas pueden variar, el precio se reconfirmará en el momento de la emisión de los billetes aéreos. Consultar suplementos y cenas obligatorias Navidad o fechas especiales.</w:t>
      </w:r>
    </w:p>
    <w:p w14:paraId="273A5D16" w14:textId="77777777" w:rsidR="00D47A84" w:rsidRPr="00D47A84" w:rsidRDefault="00D47A84" w:rsidP="00D47A84">
      <w:pPr>
        <w:autoSpaceDE w:val="0"/>
        <w:autoSpaceDN w:val="0"/>
        <w:adjustRightInd w:val="0"/>
        <w:ind w:left="113" w:hanging="113"/>
        <w:jc w:val="both"/>
        <w:textAlignment w:val="center"/>
        <w:rPr>
          <w:rFonts w:ascii="Router-Book" w:hAnsi="Router-Book" w:cs="Router-Book"/>
          <w:color w:val="000000"/>
          <w:w w:val="90"/>
          <w:sz w:val="14"/>
          <w:szCs w:val="14"/>
        </w:rPr>
      </w:pPr>
      <w:r w:rsidRPr="00D47A84">
        <w:rPr>
          <w:rFonts w:ascii="Router-Book" w:hAnsi="Router-Book" w:cs="Router-Book"/>
          <w:color w:val="000000"/>
          <w:w w:val="90"/>
          <w:sz w:val="14"/>
          <w:szCs w:val="14"/>
        </w:rPr>
        <w:t>-</w:t>
      </w:r>
      <w:r w:rsidRPr="00D47A84">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 Su prescripción deberá realizarse de forma personalizada en cualquiera de los Centros de Vacunación Internacional autorizados.</w:t>
      </w:r>
    </w:p>
    <w:p w14:paraId="415E1842" w14:textId="749C60BD" w:rsidR="0021700A" w:rsidRDefault="0021700A"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49F90E11"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Fechas de inicio: Diarias</w:t>
      </w:r>
    </w:p>
    <w:p w14:paraId="1E160CA4" w14:textId="77777777" w:rsidR="00874E21" w:rsidRDefault="00874E21" w:rsidP="00874E21">
      <w:pPr>
        <w:pStyle w:val="textomesesfechas"/>
      </w:pPr>
      <w:r>
        <w:t>Temporada 2025</w:t>
      </w:r>
    </w:p>
    <w:p w14:paraId="12B75C22"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B46620F"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Incluye</w:t>
      </w:r>
    </w:p>
    <w:p w14:paraId="462CB6A9"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Traslados de entrada y salida.</w:t>
      </w:r>
    </w:p>
    <w:p w14:paraId="3C6849BC"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Entradas a parques y reservas.</w:t>
      </w:r>
    </w:p>
    <w:p w14:paraId="07E1910F" w14:textId="5157D205"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Avionetas regulares Kasane – Okavango – Maun (15 kgs max., maleta blanda/flexible). </w:t>
      </w:r>
    </w:p>
    <w:p w14:paraId="7386A52B"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Régimen de alojamiento y desayuno en Cataratas Victoria. </w:t>
      </w:r>
    </w:p>
    <w:p w14:paraId="0F7B4FB8"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Régimen de pensión completa en safari. </w:t>
      </w:r>
    </w:p>
    <w:p w14:paraId="08AE0B4E"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Bebidas locales y lavandería en Opción C.</w:t>
      </w:r>
    </w:p>
    <w:p w14:paraId="17F4716D"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Crucero al atardecer en el río Zambeze.</w:t>
      </w:r>
    </w:p>
    <w:p w14:paraId="17B01E05"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Visita de las Cataratas Victoria.</w:t>
      </w:r>
    </w:p>
    <w:p w14:paraId="5A7C5ADD"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Almuerzo en restaurante Lookout Café.</w:t>
      </w:r>
    </w:p>
    <w:p w14:paraId="6FB6C133"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Actividades de safari ofrecidas por los alojamientos en vehículos 4x4, en barco y en mokoro (sujeto al nivel del agua) con rangers de habla inglesa.</w:t>
      </w:r>
    </w:p>
    <w:p w14:paraId="511EB777" w14:textId="77777777" w:rsid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Seguro básico de viaje.</w:t>
      </w:r>
    </w:p>
    <w:p w14:paraId="0220CD0C"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21A350F0"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No incluye</w:t>
      </w:r>
    </w:p>
    <w:p w14:paraId="1164C5C1"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 xml:space="preserve">Vuelos internacionales. </w:t>
      </w:r>
    </w:p>
    <w:p w14:paraId="62034A4A"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Visados.</w:t>
      </w:r>
    </w:p>
    <w:p w14:paraId="3345D62B"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Seguro opcional de asistencia en viajes y anulación. (Consultar).</w:t>
      </w:r>
    </w:p>
    <w:p w14:paraId="19360EEF" w14:textId="77777777" w:rsidR="00D47A84" w:rsidRPr="00D47A84" w:rsidRDefault="00D47A84" w:rsidP="00D47A84">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w:t>
      </w:r>
      <w:r w:rsidRPr="00D47A84">
        <w:rPr>
          <w:rFonts w:ascii="Router-Book" w:hAnsi="Router-Book" w:cs="Router-Book"/>
          <w:color w:val="000000"/>
          <w:spacing w:val="-3"/>
          <w:w w:val="90"/>
          <w:sz w:val="16"/>
          <w:szCs w:val="16"/>
        </w:rPr>
        <w:tab/>
        <w:t>Otros servicios no especificados.</w:t>
      </w:r>
    </w:p>
    <w:p w14:paraId="3C075DEB"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EAC8129" w14:textId="77777777" w:rsidR="00D47A84"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14FBF94"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14"/>
        <w:gridCol w:w="567"/>
      </w:tblGrid>
      <w:tr w:rsidR="00D47A84" w:rsidRPr="00D47A84" w14:paraId="62F3E958" w14:textId="77777777" w:rsidTr="00874E21">
        <w:trPr>
          <w:trHeight w:val="60"/>
          <w:tblHeader/>
        </w:trPr>
        <w:tc>
          <w:tcPr>
            <w:tcW w:w="1276" w:type="dxa"/>
            <w:tcMar>
              <w:top w:w="0" w:type="dxa"/>
              <w:left w:w="0" w:type="dxa"/>
              <w:bottom w:w="0" w:type="dxa"/>
              <w:right w:w="0" w:type="dxa"/>
            </w:tcMar>
          </w:tcPr>
          <w:p w14:paraId="0B754D50" w14:textId="77777777" w:rsidR="00D47A84" w:rsidRPr="00D47A84" w:rsidRDefault="00D47A84" w:rsidP="00D47A84">
            <w:pPr>
              <w:autoSpaceDE w:val="0"/>
              <w:autoSpaceDN w:val="0"/>
              <w:adjustRightInd w:val="0"/>
              <w:textAlignment w:val="center"/>
              <w:rPr>
                <w:rFonts w:ascii="Router-Bold" w:hAnsi="Router-Bold" w:cs="Router-Bold"/>
                <w:b/>
                <w:bCs/>
                <w:color w:val="000000"/>
                <w:w w:val="90"/>
                <w:sz w:val="17"/>
                <w:szCs w:val="17"/>
              </w:rPr>
            </w:pPr>
            <w:r w:rsidRPr="00D47A84">
              <w:rPr>
                <w:rFonts w:ascii="Router-Bold" w:hAnsi="Router-Bold" w:cs="Router-Bold"/>
                <w:b/>
                <w:bCs/>
                <w:color w:val="000000"/>
                <w:w w:val="90"/>
                <w:sz w:val="17"/>
                <w:szCs w:val="17"/>
              </w:rPr>
              <w:t>Ciudad</w:t>
            </w:r>
          </w:p>
        </w:tc>
        <w:tc>
          <w:tcPr>
            <w:tcW w:w="1814" w:type="dxa"/>
            <w:tcMar>
              <w:top w:w="0" w:type="dxa"/>
              <w:left w:w="0" w:type="dxa"/>
              <w:bottom w:w="0" w:type="dxa"/>
              <w:right w:w="0" w:type="dxa"/>
            </w:tcMar>
          </w:tcPr>
          <w:p w14:paraId="2E23A08C" w14:textId="77777777" w:rsidR="00D47A84" w:rsidRPr="00D47A84" w:rsidRDefault="00D47A84" w:rsidP="00D47A84">
            <w:pPr>
              <w:autoSpaceDE w:val="0"/>
              <w:autoSpaceDN w:val="0"/>
              <w:adjustRightInd w:val="0"/>
              <w:textAlignment w:val="center"/>
              <w:rPr>
                <w:rFonts w:ascii="Router-Bold" w:hAnsi="Router-Bold" w:cs="Router-Bold"/>
                <w:b/>
                <w:bCs/>
                <w:color w:val="000000"/>
                <w:w w:val="90"/>
                <w:sz w:val="17"/>
                <w:szCs w:val="17"/>
              </w:rPr>
            </w:pPr>
            <w:r w:rsidRPr="00D47A84">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27D2F453" w14:textId="77777777" w:rsidR="00D47A84" w:rsidRPr="00D47A84" w:rsidRDefault="00D47A84" w:rsidP="00D47A84">
            <w:pPr>
              <w:autoSpaceDE w:val="0"/>
              <w:autoSpaceDN w:val="0"/>
              <w:adjustRightInd w:val="0"/>
              <w:jc w:val="center"/>
              <w:textAlignment w:val="center"/>
              <w:rPr>
                <w:rFonts w:ascii="Router-Bold" w:hAnsi="Router-Bold" w:cs="Router-Bold"/>
                <w:b/>
                <w:bCs/>
                <w:color w:val="000000"/>
                <w:w w:val="90"/>
                <w:sz w:val="17"/>
                <w:szCs w:val="17"/>
              </w:rPr>
            </w:pPr>
            <w:r w:rsidRPr="00D47A84">
              <w:rPr>
                <w:rFonts w:ascii="Router-Bold" w:hAnsi="Router-Bold" w:cs="Router-Bold"/>
                <w:b/>
                <w:bCs/>
                <w:color w:val="000000"/>
                <w:spacing w:val="-4"/>
                <w:w w:val="90"/>
                <w:sz w:val="17"/>
                <w:szCs w:val="17"/>
              </w:rPr>
              <w:t>Opción</w:t>
            </w:r>
          </w:p>
        </w:tc>
      </w:tr>
      <w:tr w:rsidR="00D47A84" w:rsidRPr="00D47A84" w14:paraId="0206A431" w14:textId="77777777" w:rsidTr="00874E21">
        <w:trPr>
          <w:trHeight w:val="60"/>
        </w:trPr>
        <w:tc>
          <w:tcPr>
            <w:tcW w:w="1276" w:type="dxa"/>
            <w:tcMar>
              <w:top w:w="0" w:type="dxa"/>
              <w:left w:w="0" w:type="dxa"/>
              <w:bottom w:w="0" w:type="dxa"/>
              <w:right w:w="28" w:type="dxa"/>
            </w:tcMar>
          </w:tcPr>
          <w:p w14:paraId="424BC2F7"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Cataratas Victoria </w:t>
            </w:r>
          </w:p>
        </w:tc>
        <w:tc>
          <w:tcPr>
            <w:tcW w:w="1814" w:type="dxa"/>
            <w:tcMar>
              <w:top w:w="0" w:type="dxa"/>
              <w:left w:w="0" w:type="dxa"/>
              <w:bottom w:w="0" w:type="dxa"/>
              <w:right w:w="28" w:type="dxa"/>
            </w:tcMar>
          </w:tcPr>
          <w:p w14:paraId="6F834A1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Pioneers  </w:t>
            </w:r>
          </w:p>
        </w:tc>
        <w:tc>
          <w:tcPr>
            <w:tcW w:w="567" w:type="dxa"/>
            <w:tcMar>
              <w:top w:w="0" w:type="dxa"/>
              <w:left w:w="0" w:type="dxa"/>
              <w:bottom w:w="0" w:type="dxa"/>
              <w:right w:w="0" w:type="dxa"/>
            </w:tcMar>
          </w:tcPr>
          <w:p w14:paraId="1ABDE4FE"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16829200" w14:textId="77777777" w:rsidTr="00874E21">
        <w:trPr>
          <w:trHeight w:val="60"/>
        </w:trPr>
        <w:tc>
          <w:tcPr>
            <w:tcW w:w="1276" w:type="dxa"/>
            <w:tcMar>
              <w:top w:w="0" w:type="dxa"/>
              <w:left w:w="0" w:type="dxa"/>
              <w:bottom w:w="0" w:type="dxa"/>
              <w:right w:w="28" w:type="dxa"/>
            </w:tcMar>
          </w:tcPr>
          <w:p w14:paraId="53D59CF4"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44F31C7A"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Batonka Lodge </w:t>
            </w:r>
          </w:p>
        </w:tc>
        <w:tc>
          <w:tcPr>
            <w:tcW w:w="567" w:type="dxa"/>
            <w:tcMar>
              <w:top w:w="0" w:type="dxa"/>
              <w:left w:w="0" w:type="dxa"/>
              <w:bottom w:w="0" w:type="dxa"/>
              <w:right w:w="0" w:type="dxa"/>
            </w:tcMar>
          </w:tcPr>
          <w:p w14:paraId="3D984B0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64D972E4" w14:textId="77777777" w:rsidTr="00874E21">
        <w:trPr>
          <w:trHeight w:val="60"/>
        </w:trPr>
        <w:tc>
          <w:tcPr>
            <w:tcW w:w="1276" w:type="dxa"/>
            <w:tcMar>
              <w:top w:w="0" w:type="dxa"/>
              <w:left w:w="0" w:type="dxa"/>
              <w:bottom w:w="0" w:type="dxa"/>
              <w:right w:w="28" w:type="dxa"/>
            </w:tcMar>
          </w:tcPr>
          <w:p w14:paraId="2A27D0A9"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547CA1E2"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Old Drift Lodge</w:t>
            </w:r>
          </w:p>
        </w:tc>
        <w:tc>
          <w:tcPr>
            <w:tcW w:w="567" w:type="dxa"/>
            <w:tcMar>
              <w:top w:w="0" w:type="dxa"/>
              <w:left w:w="0" w:type="dxa"/>
              <w:bottom w:w="0" w:type="dxa"/>
              <w:right w:w="0" w:type="dxa"/>
            </w:tcMar>
          </w:tcPr>
          <w:p w14:paraId="4C5B47AC"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r w:rsidR="00D47A84" w:rsidRPr="00D47A84" w14:paraId="69584ABA" w14:textId="77777777" w:rsidTr="00874E21">
        <w:trPr>
          <w:trHeight w:val="60"/>
        </w:trPr>
        <w:tc>
          <w:tcPr>
            <w:tcW w:w="1276" w:type="dxa"/>
            <w:tcMar>
              <w:top w:w="0" w:type="dxa"/>
              <w:left w:w="0" w:type="dxa"/>
              <w:bottom w:w="0" w:type="dxa"/>
              <w:right w:w="28" w:type="dxa"/>
            </w:tcMar>
          </w:tcPr>
          <w:p w14:paraId="051973C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w:t>
            </w:r>
          </w:p>
        </w:tc>
        <w:tc>
          <w:tcPr>
            <w:tcW w:w="1814" w:type="dxa"/>
            <w:tcMar>
              <w:top w:w="0" w:type="dxa"/>
              <w:left w:w="0" w:type="dxa"/>
              <w:bottom w:w="0" w:type="dxa"/>
              <w:right w:w="28" w:type="dxa"/>
            </w:tcMar>
          </w:tcPr>
          <w:p w14:paraId="3C7ADF0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Lenyebi River Lodge </w:t>
            </w:r>
          </w:p>
        </w:tc>
        <w:tc>
          <w:tcPr>
            <w:tcW w:w="567" w:type="dxa"/>
            <w:tcMar>
              <w:top w:w="0" w:type="dxa"/>
              <w:left w:w="0" w:type="dxa"/>
              <w:bottom w:w="0" w:type="dxa"/>
              <w:right w:w="0" w:type="dxa"/>
            </w:tcMar>
          </w:tcPr>
          <w:p w14:paraId="50C9D0B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46D6F534" w14:textId="77777777" w:rsidTr="00874E21">
        <w:trPr>
          <w:trHeight w:val="60"/>
        </w:trPr>
        <w:tc>
          <w:tcPr>
            <w:tcW w:w="1276" w:type="dxa"/>
            <w:tcMar>
              <w:top w:w="0" w:type="dxa"/>
              <w:left w:w="0" w:type="dxa"/>
              <w:bottom w:w="0" w:type="dxa"/>
              <w:right w:w="28" w:type="dxa"/>
            </w:tcMar>
          </w:tcPr>
          <w:p w14:paraId="7B37AA64"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190C2F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 Elephant Camp</w:t>
            </w:r>
          </w:p>
        </w:tc>
        <w:tc>
          <w:tcPr>
            <w:tcW w:w="567" w:type="dxa"/>
            <w:tcMar>
              <w:top w:w="0" w:type="dxa"/>
              <w:left w:w="0" w:type="dxa"/>
              <w:bottom w:w="0" w:type="dxa"/>
              <w:right w:w="0" w:type="dxa"/>
            </w:tcMar>
          </w:tcPr>
          <w:p w14:paraId="4993D17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48346CA4" w14:textId="77777777" w:rsidTr="00874E21">
        <w:trPr>
          <w:trHeight w:val="60"/>
        </w:trPr>
        <w:tc>
          <w:tcPr>
            <w:tcW w:w="1276" w:type="dxa"/>
            <w:tcMar>
              <w:top w:w="0" w:type="dxa"/>
              <w:left w:w="0" w:type="dxa"/>
              <w:bottom w:w="0" w:type="dxa"/>
              <w:right w:w="28" w:type="dxa"/>
            </w:tcMar>
          </w:tcPr>
          <w:p w14:paraId="3F89B038"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203A368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Chobe Game Lodge </w:t>
            </w:r>
          </w:p>
        </w:tc>
        <w:tc>
          <w:tcPr>
            <w:tcW w:w="567" w:type="dxa"/>
            <w:tcMar>
              <w:top w:w="0" w:type="dxa"/>
              <w:left w:w="0" w:type="dxa"/>
              <w:bottom w:w="0" w:type="dxa"/>
              <w:right w:w="0" w:type="dxa"/>
            </w:tcMar>
          </w:tcPr>
          <w:p w14:paraId="7449A463"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r w:rsidR="00D47A84" w:rsidRPr="00D47A84" w14:paraId="67720C0E" w14:textId="77777777" w:rsidTr="00874E21">
        <w:trPr>
          <w:trHeight w:val="60"/>
        </w:trPr>
        <w:tc>
          <w:tcPr>
            <w:tcW w:w="1276" w:type="dxa"/>
            <w:tcMar>
              <w:top w:w="0" w:type="dxa"/>
              <w:left w:w="0" w:type="dxa"/>
              <w:bottom w:w="0" w:type="dxa"/>
              <w:right w:w="28" w:type="dxa"/>
            </w:tcMar>
          </w:tcPr>
          <w:p w14:paraId="1E38A107"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Delta Okavango</w:t>
            </w:r>
          </w:p>
        </w:tc>
        <w:tc>
          <w:tcPr>
            <w:tcW w:w="1814" w:type="dxa"/>
            <w:tcMar>
              <w:top w:w="0" w:type="dxa"/>
              <w:left w:w="0" w:type="dxa"/>
              <w:bottom w:w="0" w:type="dxa"/>
              <w:right w:w="28" w:type="dxa"/>
            </w:tcMar>
          </w:tcPr>
          <w:p w14:paraId="7D864E0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Khwai Guest House </w:t>
            </w:r>
          </w:p>
        </w:tc>
        <w:tc>
          <w:tcPr>
            <w:tcW w:w="567" w:type="dxa"/>
            <w:tcMar>
              <w:top w:w="0" w:type="dxa"/>
              <w:left w:w="0" w:type="dxa"/>
              <w:bottom w:w="0" w:type="dxa"/>
              <w:right w:w="0" w:type="dxa"/>
            </w:tcMar>
          </w:tcPr>
          <w:p w14:paraId="246C3D22"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A</w:t>
            </w:r>
          </w:p>
        </w:tc>
      </w:tr>
      <w:tr w:rsidR="00D47A84" w:rsidRPr="00D47A84" w14:paraId="5923482A" w14:textId="77777777" w:rsidTr="00874E21">
        <w:trPr>
          <w:trHeight w:val="60"/>
        </w:trPr>
        <w:tc>
          <w:tcPr>
            <w:tcW w:w="1276" w:type="dxa"/>
            <w:tcMar>
              <w:top w:w="0" w:type="dxa"/>
              <w:left w:w="0" w:type="dxa"/>
              <w:bottom w:w="0" w:type="dxa"/>
              <w:right w:w="28" w:type="dxa"/>
            </w:tcMar>
          </w:tcPr>
          <w:p w14:paraId="1D455299"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077E857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Sango Safari Camp </w:t>
            </w:r>
          </w:p>
        </w:tc>
        <w:tc>
          <w:tcPr>
            <w:tcW w:w="567" w:type="dxa"/>
            <w:tcMar>
              <w:top w:w="0" w:type="dxa"/>
              <w:left w:w="0" w:type="dxa"/>
              <w:bottom w:w="0" w:type="dxa"/>
              <w:right w:w="0" w:type="dxa"/>
            </w:tcMar>
          </w:tcPr>
          <w:p w14:paraId="1BD1C29A"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B</w:t>
            </w:r>
          </w:p>
        </w:tc>
      </w:tr>
      <w:tr w:rsidR="00D47A84" w:rsidRPr="00D47A84" w14:paraId="6D7AE314" w14:textId="77777777" w:rsidTr="00874E21">
        <w:trPr>
          <w:trHeight w:val="60"/>
        </w:trPr>
        <w:tc>
          <w:tcPr>
            <w:tcW w:w="1276" w:type="dxa"/>
            <w:tcMar>
              <w:top w:w="0" w:type="dxa"/>
              <w:left w:w="0" w:type="dxa"/>
              <w:bottom w:w="0" w:type="dxa"/>
              <w:right w:w="28" w:type="dxa"/>
            </w:tcMar>
          </w:tcPr>
          <w:p w14:paraId="39945245" w14:textId="77777777" w:rsidR="00D47A84" w:rsidRPr="00D47A84" w:rsidRDefault="00D47A84" w:rsidP="00D47A84">
            <w:pPr>
              <w:autoSpaceDE w:val="0"/>
              <w:autoSpaceDN w:val="0"/>
              <w:adjustRightInd w:val="0"/>
              <w:rPr>
                <w:rFonts w:ascii="CoHeadline-Regular" w:hAnsi="CoHeadline-Regular"/>
                <w:sz w:val="16"/>
                <w:szCs w:val="16"/>
              </w:rPr>
            </w:pPr>
          </w:p>
        </w:tc>
        <w:tc>
          <w:tcPr>
            <w:tcW w:w="1814" w:type="dxa"/>
            <w:tcMar>
              <w:top w:w="0" w:type="dxa"/>
              <w:left w:w="0" w:type="dxa"/>
              <w:bottom w:w="0" w:type="dxa"/>
              <w:right w:w="28" w:type="dxa"/>
            </w:tcMar>
          </w:tcPr>
          <w:p w14:paraId="0A24E0D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Kanana Camp</w:t>
            </w:r>
          </w:p>
        </w:tc>
        <w:tc>
          <w:tcPr>
            <w:tcW w:w="567" w:type="dxa"/>
            <w:tcMar>
              <w:top w:w="0" w:type="dxa"/>
              <w:left w:w="0" w:type="dxa"/>
              <w:bottom w:w="0" w:type="dxa"/>
              <w:right w:w="0" w:type="dxa"/>
            </w:tcMar>
          </w:tcPr>
          <w:p w14:paraId="43D214F5" w14:textId="77777777" w:rsidR="00D47A84" w:rsidRPr="00D47A84" w:rsidRDefault="00D47A84" w:rsidP="00D47A84">
            <w:pPr>
              <w:autoSpaceDE w:val="0"/>
              <w:autoSpaceDN w:val="0"/>
              <w:adjustRightInd w:val="0"/>
              <w:jc w:val="center"/>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C</w:t>
            </w:r>
          </w:p>
        </w:tc>
      </w:tr>
    </w:tbl>
    <w:p w14:paraId="1E665B92" w14:textId="77777777" w:rsidR="00D47A84" w:rsidRPr="00D47A84" w:rsidRDefault="00D47A84" w:rsidP="00D47A8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069"/>
        <w:gridCol w:w="625"/>
        <w:gridCol w:w="169"/>
        <w:gridCol w:w="567"/>
        <w:gridCol w:w="227"/>
      </w:tblGrid>
      <w:tr w:rsidR="00D47A84" w:rsidRPr="00D47A84" w14:paraId="333ECA20" w14:textId="77777777" w:rsidTr="00874E21">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0537EA"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w w:val="90"/>
              </w:rPr>
              <w:t>Precios por persona USD</w:t>
            </w:r>
          </w:p>
        </w:tc>
      </w:tr>
      <w:tr w:rsidR="00D47A84" w:rsidRPr="00D47A84" w14:paraId="538855D0" w14:textId="77777777" w:rsidTr="00874E21">
        <w:trPr>
          <w:trHeight w:val="60"/>
        </w:trPr>
        <w:tc>
          <w:tcPr>
            <w:tcW w:w="2069" w:type="dxa"/>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tcPr>
          <w:p w14:paraId="0ADCF75C" w14:textId="77777777" w:rsidR="00D47A84" w:rsidRPr="00D47A84" w:rsidRDefault="00D47A84" w:rsidP="00D47A84">
            <w:pPr>
              <w:tabs>
                <w:tab w:val="left" w:pos="1389"/>
              </w:tabs>
              <w:suppressAutoHyphens/>
              <w:autoSpaceDE w:val="0"/>
              <w:autoSpaceDN w:val="0"/>
              <w:adjustRightInd w:val="0"/>
              <w:textAlignment w:val="center"/>
              <w:rPr>
                <w:rFonts w:ascii="CoHeadline-Regular" w:hAnsi="CoHeadline-Regular" w:cs="CoHeadline-Regular"/>
                <w:color w:val="65CB00"/>
                <w:w w:val="90"/>
              </w:rPr>
            </w:pPr>
            <w:r w:rsidRPr="00D47A84">
              <w:rPr>
                <w:rFonts w:ascii="CoHeadline-Regular" w:hAnsi="CoHeadline-Regular" w:cs="CoHeadline-Regular"/>
                <w:color w:val="65CB00"/>
                <w:spacing w:val="-2"/>
                <w:w w:val="90"/>
                <w:sz w:val="18"/>
                <w:szCs w:val="18"/>
              </w:rPr>
              <w:t>(mínimo 2 personas)</w:t>
            </w:r>
          </w:p>
        </w:tc>
        <w:tc>
          <w:tcPr>
            <w:tcW w:w="1588" w:type="dxa"/>
            <w:gridSpan w:val="4"/>
            <w:tcBorders>
              <w:top w:val="single" w:sz="4" w:space="0" w:color="auto"/>
              <w:left w:val="single" w:sz="6" w:space="0" w:color="000000"/>
              <w:bottom w:val="single" w:sz="6" w:space="0" w:color="D9000D"/>
              <w:right w:val="single" w:sz="6" w:space="0" w:color="000000"/>
            </w:tcBorders>
            <w:tcMar>
              <w:top w:w="0" w:type="dxa"/>
              <w:left w:w="0" w:type="dxa"/>
              <w:bottom w:w="0" w:type="dxa"/>
              <w:right w:w="0" w:type="dxa"/>
            </w:tcMar>
            <w:vAlign w:val="bottom"/>
          </w:tcPr>
          <w:p w14:paraId="5A0A2DB5"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27DF11A9"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3050FD55"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Opción A</w:t>
            </w:r>
            <w:r w:rsidRPr="00D47A84">
              <w:rPr>
                <w:rFonts w:ascii="Router-Medium" w:hAnsi="Router-Medium" w:cs="Router-Medium"/>
                <w:b/>
                <w:bCs/>
                <w:color w:val="000000"/>
                <w:spacing w:val="-3"/>
                <w:w w:val="90"/>
                <w:sz w:val="15"/>
                <w:szCs w:val="15"/>
              </w:rPr>
              <w:t xml:space="preserve"> (C-97017)</w:t>
            </w:r>
          </w:p>
        </w:tc>
        <w:tc>
          <w:tcPr>
            <w:tcW w:w="794" w:type="dxa"/>
            <w:gridSpan w:val="2"/>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2E13678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D9000D"/>
              <w:left w:val="single" w:sz="6" w:space="0" w:color="000000"/>
              <w:bottom w:val="single" w:sz="5" w:space="0" w:color="D9000D"/>
              <w:right w:val="single" w:sz="4" w:space="0" w:color="3F3F3F"/>
            </w:tcBorders>
            <w:tcMar>
              <w:top w:w="0" w:type="dxa"/>
              <w:left w:w="0" w:type="dxa"/>
              <w:bottom w:w="0" w:type="dxa"/>
              <w:right w:w="0" w:type="dxa"/>
            </w:tcMar>
            <w:vAlign w:val="center"/>
          </w:tcPr>
          <w:p w14:paraId="3977114A"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4DD36672"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33B548B4"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4CB2DFBB"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53DE792"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32E98F53"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452C4156"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5BF0BDC8"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20DF3F6"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1 - 31 Marzo y 1 - 20/Diciembre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C550853" w14:textId="4AF68B90"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FB2AED">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90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52D1777"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DEA1CBA"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210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95CE60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3757CD68"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DAD807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1/Abril – 30/Junio y 1 - 30/Nov</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4254046" w14:textId="25C1FDDF"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FB2AED">
              <w:rPr>
                <w:rFonts w:ascii="SourceSansRoman_350.000wght_0it" w:hAnsi="SourceSansRoman_350.000wght_0it" w:cs="SourceSansRoman_350.000wght_0it"/>
                <w:color w:val="000000"/>
                <w:spacing w:val="5"/>
                <w:sz w:val="19"/>
                <w:szCs w:val="19"/>
              </w:rPr>
              <w:t>5</w:t>
            </w:r>
            <w:r w:rsidRPr="00D47A84">
              <w:rPr>
                <w:rFonts w:ascii="SourceSansRoman_350.000wght_0it" w:hAnsi="SourceSansRoman_350.000wght_0it" w:cs="SourceSansRoman_350.000wght_0it"/>
                <w:color w:val="000000"/>
                <w:spacing w:val="5"/>
                <w:sz w:val="19"/>
                <w:szCs w:val="19"/>
              </w:rPr>
              <w:t>75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41F935F"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A658A77"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210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7DC0BD"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5B6DA0A5" w14:textId="77777777" w:rsidTr="00D47A84">
        <w:trPr>
          <w:trHeight w:val="60"/>
        </w:trPr>
        <w:tc>
          <w:tcPr>
            <w:tcW w:w="2069"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3E6FD1D8"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Julio – 31 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2D214BF" w14:textId="75F6BADA"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FB2AED">
              <w:rPr>
                <w:rFonts w:ascii="SourceSansRoman_350.000wght_0it" w:hAnsi="SourceSansRoman_350.000wght_0it" w:cs="SourceSansRoman_350.000wght_0it"/>
                <w:color w:val="000000"/>
                <w:spacing w:val="5"/>
                <w:sz w:val="19"/>
                <w:szCs w:val="19"/>
              </w:rPr>
              <w:t>6</w:t>
            </w:r>
            <w:r w:rsidRPr="00D47A84">
              <w:rPr>
                <w:rFonts w:ascii="SourceSansRoman_350.000wght_0it" w:hAnsi="SourceSansRoman_350.000wght_0it" w:cs="SourceSansRoman_350.000wght_0it"/>
                <w:color w:val="000000"/>
                <w:spacing w:val="5"/>
                <w:sz w:val="19"/>
                <w:szCs w:val="19"/>
              </w:rPr>
              <w:t>75</w:t>
            </w:r>
          </w:p>
        </w:tc>
        <w:tc>
          <w:tcPr>
            <w:tcW w:w="169"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072D5F4"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86C111"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475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0CA97156"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64F381C9"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17B8C0D2"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 xml:space="preserve">Opción B </w:t>
            </w:r>
            <w:r w:rsidRPr="00D47A84">
              <w:rPr>
                <w:rFonts w:ascii="Router-Medium" w:hAnsi="Router-Medium" w:cs="Router-Medium"/>
                <w:b/>
                <w:bCs/>
                <w:color w:val="000000"/>
                <w:spacing w:val="-3"/>
                <w:w w:val="90"/>
                <w:sz w:val="15"/>
                <w:szCs w:val="15"/>
              </w:rPr>
              <w:t>(C-97017)</w:t>
            </w:r>
          </w:p>
        </w:tc>
        <w:tc>
          <w:tcPr>
            <w:tcW w:w="794" w:type="dxa"/>
            <w:gridSpan w:val="2"/>
            <w:tcBorders>
              <w:top w:val="single" w:sz="6" w:space="0" w:color="E00019"/>
              <w:left w:val="single" w:sz="6" w:space="0" w:color="000000"/>
              <w:bottom w:val="single" w:sz="5" w:space="0" w:color="D9000D"/>
              <w:right w:val="single" w:sz="6" w:space="0" w:color="000000"/>
            </w:tcBorders>
            <w:tcMar>
              <w:top w:w="0" w:type="dxa"/>
              <w:left w:w="0" w:type="dxa"/>
              <w:bottom w:w="0" w:type="dxa"/>
              <w:right w:w="0" w:type="dxa"/>
            </w:tcMar>
            <w:vAlign w:val="center"/>
          </w:tcPr>
          <w:p w14:paraId="25C9FAD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E00019"/>
              <w:left w:val="single" w:sz="6" w:space="0" w:color="000000"/>
              <w:bottom w:val="single" w:sz="5" w:space="0" w:color="D9000D"/>
              <w:right w:val="single" w:sz="4" w:space="0" w:color="3F3F3F"/>
            </w:tcBorders>
            <w:tcMar>
              <w:top w:w="0" w:type="dxa"/>
              <w:left w:w="0" w:type="dxa"/>
              <w:bottom w:w="0" w:type="dxa"/>
              <w:right w:w="0" w:type="dxa"/>
            </w:tcMar>
            <w:vAlign w:val="center"/>
          </w:tcPr>
          <w:p w14:paraId="50A855E1"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6509D80D"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6CC6EF2F"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26D2BEE2"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DF1B1A6"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3C392D6F"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890C606"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043B2D63"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5B25EF0"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1 - 31 Marzo y 1 - 20/Diciembre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6F0EC76" w14:textId="4C75D6F1"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4.</w:t>
            </w:r>
            <w:r w:rsidR="00FB2AED">
              <w:rPr>
                <w:rFonts w:ascii="SourceSansRoman_350.000wght_0it" w:hAnsi="SourceSansRoman_350.000wght_0it" w:cs="SourceSansRoman_350.000wght_0it"/>
                <w:color w:val="000000"/>
                <w:spacing w:val="5"/>
                <w:sz w:val="19"/>
                <w:szCs w:val="19"/>
              </w:rPr>
              <w:t>9</w:t>
            </w:r>
            <w:r w:rsidRPr="00D47A84">
              <w:rPr>
                <w:rFonts w:ascii="SourceSansRoman_350.000wght_0it" w:hAnsi="SourceSansRoman_350.000wght_0it" w:cs="SourceSansRoman_350.000wght_0it"/>
                <w:color w:val="000000"/>
                <w:spacing w:val="5"/>
                <w:sz w:val="19"/>
                <w:szCs w:val="19"/>
              </w:rPr>
              <w:t>70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3AC4B73"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3D759C9"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170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379C5A26"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65D43BD7"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D48F0AD"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1/Abril – 30/Junio y 1 - 30/Nov</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2460227" w14:textId="72772A79"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5.</w:t>
            </w:r>
            <w:r w:rsidR="00FB2AED">
              <w:rPr>
                <w:rFonts w:ascii="SourceSansRoman_350.000wght_0it" w:hAnsi="SourceSansRoman_350.000wght_0it" w:cs="SourceSansRoman_350.000wght_0it"/>
                <w:color w:val="000000"/>
                <w:spacing w:val="5"/>
                <w:sz w:val="19"/>
                <w:szCs w:val="19"/>
              </w:rPr>
              <w:t>5</w:t>
            </w:r>
            <w:r w:rsidRPr="00D47A84">
              <w:rPr>
                <w:rFonts w:ascii="SourceSansRoman_350.000wght_0it" w:hAnsi="SourceSansRoman_350.000wght_0it" w:cs="SourceSansRoman_350.000wght_0it"/>
                <w:color w:val="000000"/>
                <w:spacing w:val="5"/>
                <w:sz w:val="19"/>
                <w:szCs w:val="19"/>
              </w:rPr>
              <w:t>45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2CD5BD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B487655"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845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F07C10"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0AAEBAF8" w14:textId="77777777" w:rsidTr="00D47A84">
        <w:trPr>
          <w:trHeight w:val="60"/>
        </w:trPr>
        <w:tc>
          <w:tcPr>
            <w:tcW w:w="2069"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1A0892A1"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 Julio – 31 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5EDF710" w14:textId="3F90DDA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6.</w:t>
            </w:r>
            <w:r w:rsidR="00FB2AED">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05</w:t>
            </w:r>
          </w:p>
        </w:tc>
        <w:tc>
          <w:tcPr>
            <w:tcW w:w="169"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52C1315"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6E4C02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1.355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0AD7D5A"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215B7B0A" w14:textId="77777777">
        <w:trPr>
          <w:trHeight w:val="60"/>
        </w:trPr>
        <w:tc>
          <w:tcPr>
            <w:tcW w:w="2069" w:type="dxa"/>
            <w:tcBorders>
              <w:top w:val="single" w:sz="6" w:space="0" w:color="D9000D"/>
              <w:left w:val="single" w:sz="6" w:space="0" w:color="000000"/>
              <w:bottom w:val="single" w:sz="5" w:space="0" w:color="D9000D"/>
              <w:right w:val="single" w:sz="6" w:space="0" w:color="000000"/>
            </w:tcBorders>
            <w:tcMar>
              <w:top w:w="0" w:type="dxa"/>
              <w:left w:w="0" w:type="dxa"/>
              <w:bottom w:w="0" w:type="dxa"/>
              <w:right w:w="0" w:type="dxa"/>
            </w:tcMar>
            <w:vAlign w:val="center"/>
          </w:tcPr>
          <w:p w14:paraId="6C476454"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 xml:space="preserve">Opción C </w:t>
            </w:r>
            <w:r w:rsidRPr="00D47A84">
              <w:rPr>
                <w:rFonts w:ascii="Router-Medium" w:hAnsi="Router-Medium" w:cs="Router-Medium"/>
                <w:b/>
                <w:bCs/>
                <w:color w:val="000000"/>
                <w:spacing w:val="-3"/>
                <w:w w:val="90"/>
                <w:sz w:val="15"/>
                <w:szCs w:val="15"/>
              </w:rPr>
              <w:t>(C-970170)</w:t>
            </w:r>
          </w:p>
        </w:tc>
        <w:tc>
          <w:tcPr>
            <w:tcW w:w="794" w:type="dxa"/>
            <w:gridSpan w:val="2"/>
            <w:tcBorders>
              <w:top w:val="single" w:sz="6" w:space="0" w:color="E00019"/>
              <w:left w:val="single" w:sz="6" w:space="0" w:color="000000"/>
              <w:bottom w:val="single" w:sz="5" w:space="0" w:color="D9000D"/>
              <w:right w:val="single" w:sz="6" w:space="0" w:color="000000"/>
            </w:tcBorders>
            <w:tcMar>
              <w:top w:w="0" w:type="dxa"/>
              <w:left w:w="0" w:type="dxa"/>
              <w:bottom w:w="0" w:type="dxa"/>
              <w:right w:w="0" w:type="dxa"/>
            </w:tcMar>
            <w:vAlign w:val="center"/>
          </w:tcPr>
          <w:p w14:paraId="09E0D91D"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En hab. doble</w:t>
            </w:r>
          </w:p>
        </w:tc>
        <w:tc>
          <w:tcPr>
            <w:tcW w:w="794" w:type="dxa"/>
            <w:gridSpan w:val="2"/>
            <w:tcBorders>
              <w:top w:val="single" w:sz="6" w:space="0" w:color="E00019"/>
              <w:left w:val="single" w:sz="6" w:space="0" w:color="000000"/>
              <w:bottom w:val="single" w:sz="5" w:space="0" w:color="D9000D"/>
              <w:right w:val="single" w:sz="4" w:space="0" w:color="3F3F3F"/>
            </w:tcBorders>
            <w:tcMar>
              <w:top w:w="0" w:type="dxa"/>
              <w:left w:w="0" w:type="dxa"/>
              <w:bottom w:w="0" w:type="dxa"/>
              <w:right w:w="0" w:type="dxa"/>
            </w:tcMar>
            <w:vAlign w:val="center"/>
          </w:tcPr>
          <w:p w14:paraId="11F5E4E9" w14:textId="77777777" w:rsidR="00D47A84" w:rsidRPr="00D47A84" w:rsidRDefault="00D47A84" w:rsidP="00D47A84">
            <w:pPr>
              <w:autoSpaceDE w:val="0"/>
              <w:autoSpaceDN w:val="0"/>
              <w:adjustRightInd w:val="0"/>
              <w:jc w:val="center"/>
              <w:textAlignment w:val="center"/>
              <w:rPr>
                <w:rFonts w:ascii="Router-Medium" w:hAnsi="Router-Medium" w:cs="Router-Medium"/>
                <w:b/>
                <w:bCs/>
                <w:color w:val="000000"/>
                <w:spacing w:val="-3"/>
                <w:w w:val="90"/>
                <w:sz w:val="17"/>
                <w:szCs w:val="17"/>
              </w:rPr>
            </w:pPr>
            <w:r w:rsidRPr="00D47A84">
              <w:rPr>
                <w:rFonts w:ascii="Router-Medium" w:hAnsi="Router-Medium" w:cs="Router-Medium"/>
                <w:b/>
                <w:bCs/>
                <w:color w:val="000000"/>
                <w:spacing w:val="-3"/>
                <w:w w:val="90"/>
                <w:sz w:val="17"/>
                <w:szCs w:val="17"/>
              </w:rPr>
              <w:t>Supl. hab. single</w:t>
            </w:r>
          </w:p>
        </w:tc>
      </w:tr>
      <w:tr w:rsidR="00D47A84" w:rsidRPr="00D47A84" w14:paraId="6F3AAFBA" w14:textId="77777777" w:rsidTr="00D47A84">
        <w:trPr>
          <w:trHeight w:hRule="exact" w:val="60"/>
        </w:trPr>
        <w:tc>
          <w:tcPr>
            <w:tcW w:w="2069"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4D8BF18B" w14:textId="77777777" w:rsidR="00D47A84" w:rsidRPr="00D47A84" w:rsidRDefault="00D47A84" w:rsidP="00D47A84">
            <w:pPr>
              <w:autoSpaceDE w:val="0"/>
              <w:autoSpaceDN w:val="0"/>
              <w:adjustRightInd w:val="0"/>
              <w:rPr>
                <w:rFonts w:ascii="CoHeadline-Regular" w:hAnsi="CoHeadline-Regular"/>
              </w:rPr>
            </w:pPr>
          </w:p>
        </w:tc>
        <w:tc>
          <w:tcPr>
            <w:tcW w:w="625"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0CBE4335" w14:textId="77777777" w:rsidR="00D47A84" w:rsidRPr="00D47A84" w:rsidRDefault="00D47A84" w:rsidP="00D47A84">
            <w:pPr>
              <w:autoSpaceDE w:val="0"/>
              <w:autoSpaceDN w:val="0"/>
              <w:adjustRightInd w:val="0"/>
              <w:rPr>
                <w:rFonts w:ascii="CoHeadline-Regular" w:hAnsi="CoHeadline-Regular"/>
              </w:rPr>
            </w:pPr>
          </w:p>
        </w:tc>
        <w:tc>
          <w:tcPr>
            <w:tcW w:w="169"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A24F655" w14:textId="77777777" w:rsidR="00D47A84" w:rsidRPr="00D47A84" w:rsidRDefault="00D47A84" w:rsidP="00D47A84">
            <w:pPr>
              <w:autoSpaceDE w:val="0"/>
              <w:autoSpaceDN w:val="0"/>
              <w:adjustRightInd w:val="0"/>
              <w:rPr>
                <w:rFonts w:ascii="CoHeadline-Regular" w:hAnsi="CoHeadline-Regular"/>
              </w:rPr>
            </w:pPr>
          </w:p>
        </w:tc>
        <w:tc>
          <w:tcPr>
            <w:tcW w:w="567" w:type="dxa"/>
            <w:tcBorders>
              <w:top w:val="single" w:sz="5" w:space="0" w:color="D9000D"/>
              <w:left w:val="single" w:sz="6" w:space="0" w:color="3F3F3F"/>
              <w:bottom w:val="single" w:sz="6" w:space="0" w:color="E00019"/>
              <w:right w:val="single" w:sz="6" w:space="0" w:color="3F3F3F"/>
            </w:tcBorders>
            <w:tcMar>
              <w:top w:w="0" w:type="dxa"/>
              <w:left w:w="0" w:type="dxa"/>
              <w:bottom w:w="0" w:type="dxa"/>
              <w:right w:w="0" w:type="dxa"/>
            </w:tcMar>
          </w:tcPr>
          <w:p w14:paraId="770B0FEA" w14:textId="77777777" w:rsidR="00D47A84" w:rsidRPr="00D47A84" w:rsidRDefault="00D47A84" w:rsidP="00D47A84">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E6E7991" w14:textId="77777777" w:rsidR="00D47A84" w:rsidRPr="00D47A84" w:rsidRDefault="00D47A84" w:rsidP="00D47A84">
            <w:pPr>
              <w:autoSpaceDE w:val="0"/>
              <w:autoSpaceDN w:val="0"/>
              <w:adjustRightInd w:val="0"/>
              <w:rPr>
                <w:rFonts w:ascii="CoHeadline-Regular" w:hAnsi="CoHeadline-Regular"/>
              </w:rPr>
            </w:pPr>
          </w:p>
        </w:tc>
      </w:tr>
      <w:tr w:rsidR="00D47A84" w:rsidRPr="00D47A84" w14:paraId="3C379F2F"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745CBF"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1 - 31 Marzo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016CDB3" w14:textId="52B3784F"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9.</w:t>
            </w:r>
            <w:r w:rsidR="00FB2AED">
              <w:rPr>
                <w:rFonts w:ascii="SourceSansRoman_350.000wght_0it" w:hAnsi="SourceSansRoman_350.000wght_0it" w:cs="SourceSansRoman_350.000wght_0it"/>
                <w:color w:val="000000"/>
                <w:spacing w:val="5"/>
                <w:sz w:val="19"/>
                <w:szCs w:val="19"/>
              </w:rPr>
              <w:t>4</w:t>
            </w:r>
            <w:r w:rsidRPr="00D47A84">
              <w:rPr>
                <w:rFonts w:ascii="SourceSansRoman_350.000wght_0it" w:hAnsi="SourceSansRoman_350.000wght_0it" w:cs="SourceSansRoman_350.000wght_0it"/>
                <w:color w:val="000000"/>
                <w:spacing w:val="5"/>
                <w:sz w:val="19"/>
                <w:szCs w:val="19"/>
              </w:rPr>
              <w:t>00</w:t>
            </w:r>
          </w:p>
        </w:tc>
        <w:tc>
          <w:tcPr>
            <w:tcW w:w="169"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5DE1C5A"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4F277B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1.155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4E8A611"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5D1248B3"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CE2B314"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1/Abril – 31/Mayo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FFCDA69" w14:textId="131C8EEC"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10.</w:t>
            </w:r>
            <w:r w:rsidR="00FB2AED">
              <w:rPr>
                <w:rFonts w:ascii="SourceSansRoman_350.000wght_0it" w:hAnsi="SourceSansRoman_350.000wght_0it" w:cs="SourceSansRoman_350.000wght_0it"/>
                <w:color w:val="000000"/>
                <w:spacing w:val="5"/>
                <w:sz w:val="19"/>
                <w:szCs w:val="19"/>
              </w:rPr>
              <w:t>7</w:t>
            </w:r>
            <w:r w:rsidRPr="00D47A84">
              <w:rPr>
                <w:rFonts w:ascii="SourceSansRoman_350.000wght_0it" w:hAnsi="SourceSansRoman_350.000wght_0it" w:cs="SourceSansRoman_350.000wght_0it"/>
                <w:color w:val="000000"/>
                <w:spacing w:val="5"/>
                <w:sz w:val="19"/>
                <w:szCs w:val="19"/>
              </w:rPr>
              <w:t>45</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0253C750"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63120161"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2.455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CBE4B8"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17C0D9DD"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17BDD69"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1/Junio – 31/Octubre</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7E9CB94" w14:textId="4BB714E8"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w:t>
            </w:r>
            <w:r w:rsidR="00FB2AED">
              <w:rPr>
                <w:rFonts w:ascii="SourceSansRoman_350.000wght_0it" w:hAnsi="SourceSansRoman_350.000wght_0it" w:cs="SourceSansRoman_350.000wght_0it"/>
                <w:color w:val="000000"/>
                <w:spacing w:val="5"/>
                <w:sz w:val="19"/>
                <w:szCs w:val="19"/>
              </w:rPr>
              <w:t>3</w:t>
            </w:r>
            <w:r w:rsidRPr="00D47A84">
              <w:rPr>
                <w:rFonts w:ascii="SourceSansRoman_350.000wght_0it" w:hAnsi="SourceSansRoman_350.000wght_0it" w:cs="SourceSansRoman_350.000wght_0it"/>
                <w:color w:val="000000"/>
                <w:spacing w:val="5"/>
                <w:sz w:val="19"/>
                <w:szCs w:val="19"/>
              </w:rPr>
              <w:t>.</w:t>
            </w:r>
            <w:r w:rsidR="00FB2AED">
              <w:rPr>
                <w:rFonts w:ascii="SourceSansRoman_350.000wght_0it" w:hAnsi="SourceSansRoman_350.000wght_0it" w:cs="SourceSansRoman_350.000wght_0it"/>
                <w:color w:val="000000"/>
                <w:spacing w:val="5"/>
                <w:sz w:val="19"/>
                <w:szCs w:val="19"/>
              </w:rPr>
              <w:t>0</w:t>
            </w:r>
            <w:r w:rsidRPr="00D47A84">
              <w:rPr>
                <w:rFonts w:ascii="SourceSansRoman_350.000wght_0it" w:hAnsi="SourceSansRoman_350.000wght_0it" w:cs="SourceSansRoman_350.000wght_0it"/>
                <w:color w:val="000000"/>
                <w:spacing w:val="5"/>
                <w:sz w:val="19"/>
                <w:szCs w:val="19"/>
              </w:rPr>
              <w:t>60</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F33BCB7"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EDB8B0E"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2.890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7725202"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1AE5E79C" w14:textId="77777777" w:rsidTr="00D47A84">
        <w:trPr>
          <w:trHeight w:val="60"/>
        </w:trPr>
        <w:tc>
          <w:tcPr>
            <w:tcW w:w="2069"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C72C388" w14:textId="77777777" w:rsidR="00D47A84" w:rsidRPr="00D47A84" w:rsidRDefault="00D47A84" w:rsidP="00D47A84">
            <w:pPr>
              <w:autoSpaceDE w:val="0"/>
              <w:autoSpaceDN w:val="0"/>
              <w:adjustRightInd w:val="0"/>
              <w:textAlignment w:val="center"/>
              <w:rPr>
                <w:rFonts w:ascii="Router-Book" w:hAnsi="Router-Book" w:cs="Router-Book"/>
                <w:color w:val="000000"/>
                <w:spacing w:val="-3"/>
                <w:w w:val="90"/>
                <w:sz w:val="16"/>
                <w:szCs w:val="16"/>
              </w:rPr>
            </w:pPr>
            <w:r w:rsidRPr="00D47A84">
              <w:rPr>
                <w:rFonts w:ascii="Router-Book" w:hAnsi="Router-Book" w:cs="Router-Book"/>
                <w:color w:val="000000"/>
                <w:spacing w:val="-3"/>
                <w:w w:val="90"/>
                <w:sz w:val="16"/>
                <w:szCs w:val="16"/>
              </w:rPr>
              <w:t xml:space="preserve">1/Noviembre – 14/Diciembre </w:t>
            </w:r>
          </w:p>
        </w:tc>
        <w:tc>
          <w:tcPr>
            <w:tcW w:w="625"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9C426DA" w14:textId="18346FD4"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10.</w:t>
            </w:r>
            <w:r w:rsidR="00FB2AED">
              <w:rPr>
                <w:rFonts w:ascii="SourceSansRoman_350.000wght_0it" w:hAnsi="SourceSansRoman_350.000wght_0it" w:cs="SourceSansRoman_350.000wght_0it"/>
                <w:color w:val="000000"/>
                <w:spacing w:val="5"/>
                <w:sz w:val="19"/>
                <w:szCs w:val="19"/>
              </w:rPr>
              <w:t>2</w:t>
            </w:r>
            <w:r w:rsidRPr="00D47A84">
              <w:rPr>
                <w:rFonts w:ascii="SourceSansRoman_350.000wght_0it" w:hAnsi="SourceSansRoman_350.000wght_0it" w:cs="SourceSansRoman_350.000wght_0it"/>
                <w:color w:val="000000"/>
                <w:spacing w:val="5"/>
                <w:sz w:val="19"/>
                <w:szCs w:val="19"/>
              </w:rPr>
              <w:t>30</w:t>
            </w:r>
          </w:p>
        </w:tc>
        <w:tc>
          <w:tcPr>
            <w:tcW w:w="169"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51348FF"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c>
          <w:tcPr>
            <w:tcW w:w="567"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FE42345" w14:textId="77777777" w:rsidR="00D47A84" w:rsidRPr="00D47A84" w:rsidRDefault="00D47A84" w:rsidP="00D47A8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9"/>
                <w:szCs w:val="19"/>
              </w:rPr>
              <w:t>1.155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E29F698" w14:textId="77777777" w:rsidR="00D47A84" w:rsidRPr="00D47A84" w:rsidRDefault="00D47A84" w:rsidP="00D47A8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D47A84">
              <w:rPr>
                <w:rFonts w:ascii="SourceSansRoman_350.000wght_0it" w:hAnsi="SourceSansRoman_350.000wght_0it" w:cs="SourceSansRoman_350.000wght_0it"/>
                <w:color w:val="000000"/>
                <w:spacing w:val="5"/>
                <w:sz w:val="16"/>
                <w:szCs w:val="16"/>
              </w:rPr>
              <w:t>$</w:t>
            </w:r>
          </w:p>
        </w:tc>
      </w:tr>
      <w:tr w:rsidR="00D47A84" w:rsidRPr="00D47A84" w14:paraId="04D16AE1" w14:textId="77777777">
        <w:trPr>
          <w:trHeight w:val="60"/>
        </w:trPr>
        <w:tc>
          <w:tcPr>
            <w:tcW w:w="3657" w:type="dxa"/>
            <w:gridSpan w:val="5"/>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0F2FC9B" w14:textId="77777777" w:rsidR="00D47A84" w:rsidRPr="00D47A84" w:rsidRDefault="00D47A84" w:rsidP="00D47A84">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D47A84">
              <w:rPr>
                <w:rFonts w:ascii="Router-Bold" w:hAnsi="Router-Bold" w:cs="Router-Bold"/>
                <w:b/>
                <w:bCs/>
                <w:color w:val="000000"/>
                <w:spacing w:val="-3"/>
                <w:w w:val="80"/>
                <w:sz w:val="14"/>
                <w:szCs w:val="14"/>
              </w:rPr>
              <w:t xml:space="preserve">Nota: </w:t>
            </w:r>
            <w:r w:rsidRPr="00D47A84">
              <w:rPr>
                <w:rFonts w:ascii="Router-Medium" w:hAnsi="Router-Medium" w:cs="Router-Medium"/>
                <w:color w:val="000000"/>
                <w:spacing w:val="-6"/>
                <w:w w:val="80"/>
                <w:sz w:val="14"/>
                <w:szCs w:val="14"/>
              </w:rPr>
              <w:t>Los precios del programa son por temporada y no por fecha de llegada. Consultar precios cuando el programa monte en dos temporadas.</w:t>
            </w:r>
          </w:p>
        </w:tc>
      </w:tr>
    </w:tbl>
    <w:p w14:paraId="1F02CEB2" w14:textId="77777777" w:rsidR="00D47A84" w:rsidRPr="004906BE" w:rsidRDefault="00D47A84" w:rsidP="00D47A8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D47A8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567E2"/>
    <w:rsid w:val="00580A69"/>
    <w:rsid w:val="005C146E"/>
    <w:rsid w:val="005F681D"/>
    <w:rsid w:val="00671BB0"/>
    <w:rsid w:val="006E4601"/>
    <w:rsid w:val="00714F92"/>
    <w:rsid w:val="00722D9B"/>
    <w:rsid w:val="007602E1"/>
    <w:rsid w:val="007D5E33"/>
    <w:rsid w:val="0085440A"/>
    <w:rsid w:val="00857A2E"/>
    <w:rsid w:val="00874E21"/>
    <w:rsid w:val="0089136C"/>
    <w:rsid w:val="009467C5"/>
    <w:rsid w:val="00957DB7"/>
    <w:rsid w:val="00974CBF"/>
    <w:rsid w:val="009C7CAC"/>
    <w:rsid w:val="00A57D77"/>
    <w:rsid w:val="00AB39D3"/>
    <w:rsid w:val="00AC6703"/>
    <w:rsid w:val="00B05A44"/>
    <w:rsid w:val="00BD69F6"/>
    <w:rsid w:val="00CB6B4C"/>
    <w:rsid w:val="00CB7AD3"/>
    <w:rsid w:val="00CE10A0"/>
    <w:rsid w:val="00D110D7"/>
    <w:rsid w:val="00D47A84"/>
    <w:rsid w:val="00E82C6D"/>
    <w:rsid w:val="00EC5306"/>
    <w:rsid w:val="00ED5968"/>
    <w:rsid w:val="00ED65B5"/>
    <w:rsid w:val="00F733FC"/>
    <w:rsid w:val="00FB2AED"/>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47A84"/>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47A8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47A84"/>
    <w:pPr>
      <w:spacing w:line="180" w:lineRule="atLeast"/>
      <w:ind w:left="113" w:hanging="113"/>
    </w:pPr>
    <w:rPr>
      <w:spacing w:val="0"/>
      <w:sz w:val="14"/>
      <w:szCs w:val="14"/>
    </w:rPr>
  </w:style>
  <w:style w:type="character" w:customStyle="1" w:styleId="negritanota">
    <w:name w:val="negrita nota"/>
    <w:uiPriority w:val="99"/>
    <w:rsid w:val="00D47A84"/>
    <w:rPr>
      <w:rFonts w:ascii="Router-Bold" w:hAnsi="Router-Bold" w:cs="Router-Bold"/>
      <w:b/>
      <w:bCs/>
    </w:rPr>
  </w:style>
  <w:style w:type="paragraph" w:customStyle="1" w:styleId="incluyeHoteles-Incluye">
    <w:name w:val="incluye (Hoteles-Incluye)"/>
    <w:basedOn w:val="Textoitinerario"/>
    <w:uiPriority w:val="99"/>
    <w:rsid w:val="00D47A8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47A8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47A8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47A8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D47A8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D47A8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negroprecios">
    <w:name w:val="precio negro (precios)"/>
    <w:basedOn w:val="Ningnestilodeprrafo"/>
    <w:uiPriority w:val="99"/>
    <w:rsid w:val="00D47A8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D47A8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textomesesfechas">
    <w:name w:val="texto meses (fechas)"/>
    <w:basedOn w:val="Textoitinerario"/>
    <w:uiPriority w:val="99"/>
    <w:rsid w:val="0087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962</Words>
  <Characters>5293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2025-02-08T03:26:00Z</dcterms:modified>
</cp:coreProperties>
</file>